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A9" w:rsidRPr="00E56BA9" w:rsidRDefault="00E56BA9" w:rsidP="00E56BA9">
      <w:pPr>
        <w:rPr>
          <w:rFonts w:ascii="Times New Roman" w:hAnsi="Times New Roman" w:cs="Times New Roman"/>
        </w:rPr>
      </w:pPr>
      <w:r w:rsidRPr="00E56BA9">
        <w:rPr>
          <w:rFonts w:ascii="Times New Roman" w:hAnsi="Times New Roman" w:cs="Times New Roman"/>
        </w:rPr>
        <w:t>Volunteers her is some good inform</w:t>
      </w:r>
      <w:bookmarkStart w:id="0" w:name="_GoBack"/>
      <w:bookmarkEnd w:id="0"/>
      <w:r w:rsidRPr="00E56BA9">
        <w:rPr>
          <w:rFonts w:ascii="Times New Roman" w:hAnsi="Times New Roman" w:cs="Times New Roman"/>
        </w:rPr>
        <w:t>ation to familiarize yourselves with</w:t>
      </w:r>
      <w:r>
        <w:rPr>
          <w:rFonts w:ascii="Times New Roman" w:hAnsi="Times New Roman" w:cs="Times New Roman"/>
        </w:rPr>
        <w:t>:</w:t>
      </w:r>
      <w:r w:rsidRPr="00E56BA9">
        <w:rPr>
          <w:rFonts w:ascii="Times New Roman" w:hAnsi="Times New Roman" w:cs="Times New Roman"/>
        </w:rPr>
        <w:t xml:space="preserve"> </w:t>
      </w:r>
    </w:p>
    <w:p w:rsidR="00E56BA9" w:rsidRPr="000D46F8" w:rsidRDefault="00E56BA9" w:rsidP="00E56BA9">
      <w:pPr>
        <w:numPr>
          <w:ilvl w:val="0"/>
          <w:numId w:val="1"/>
        </w:numPr>
        <w:ind w:left="54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Contact </w:t>
      </w:r>
      <w:r w:rsidRPr="000D46F8">
        <w:rPr>
          <w:rFonts w:ascii="Times New Roman" w:eastAsia="Times New Roman" w:hAnsi="Times New Roman" w:cs="Times New Roman"/>
          <w:b/>
          <w:bCs/>
        </w:rPr>
        <w:t>Name:</w:t>
      </w:r>
      <w:r w:rsidRPr="000D46F8">
        <w:rPr>
          <w:rFonts w:ascii="Times New Roman" w:eastAsia="Times New Roman" w:hAnsi="Times New Roman" w:cs="Times New Roman"/>
        </w:rPr>
        <w:t xml:space="preserve"> </w:t>
      </w:r>
      <w:r w:rsidRPr="00CE4BB6">
        <w:rPr>
          <w:rFonts w:ascii="Times New Roman" w:hAnsi="Times New Roman" w:cs="Times New Roman"/>
        </w:rPr>
        <w:t>Kara Pappas</w:t>
      </w:r>
    </w:p>
    <w:p w:rsidR="00E56BA9" w:rsidRPr="00F35D1A" w:rsidRDefault="00E56BA9" w:rsidP="00E56BA9">
      <w:pPr>
        <w:numPr>
          <w:ilvl w:val="0"/>
          <w:numId w:val="1"/>
        </w:numPr>
        <w:ind w:left="540"/>
        <w:textAlignment w:val="center"/>
        <w:rPr>
          <w:rFonts w:ascii="Times New Roman" w:eastAsia="Times New Roman" w:hAnsi="Times New Roman" w:cs="Times New Roman"/>
        </w:rPr>
      </w:pPr>
      <w:r w:rsidRPr="000D46F8">
        <w:rPr>
          <w:rFonts w:ascii="Times New Roman" w:eastAsia="Times New Roman" w:hAnsi="Times New Roman" w:cs="Times New Roman"/>
          <w:b/>
          <w:bCs/>
        </w:rPr>
        <w:t>Email:</w:t>
      </w:r>
      <w:r w:rsidRPr="000D46F8">
        <w:rPr>
          <w:rFonts w:ascii="Times New Roman" w:eastAsia="Times New Roman" w:hAnsi="Times New Roman" w:cs="Times New Roman"/>
        </w:rPr>
        <w:t xml:space="preserve"> </w:t>
      </w:r>
      <w:hyperlink r:id="rId6" w:history="1">
        <w:r w:rsidRPr="008B6B9F">
          <w:rPr>
            <w:rStyle w:val="Hyperlink"/>
            <w:rFonts w:ascii="Times New Roman" w:hAnsi="Times New Roman" w:cs="Times New Roman"/>
            <w:u w:color="0000FF"/>
          </w:rPr>
          <w:t>kara@projectsanctuary.us</w:t>
        </w:r>
      </w:hyperlink>
      <w:r>
        <w:rPr>
          <w:rFonts w:ascii="Times New Roman" w:hAnsi="Times New Roman" w:cs="Times New Roman"/>
          <w:color w:val="FF0000"/>
          <w:u w:color="0000FF"/>
        </w:rPr>
        <w:t xml:space="preserve"> </w:t>
      </w:r>
    </w:p>
    <w:p w:rsidR="00E56BA9" w:rsidRPr="000D46F8" w:rsidRDefault="00E56BA9" w:rsidP="00E56BA9">
      <w:pPr>
        <w:numPr>
          <w:ilvl w:val="0"/>
          <w:numId w:val="1"/>
        </w:numPr>
        <w:ind w:left="540"/>
        <w:textAlignment w:val="center"/>
        <w:rPr>
          <w:rFonts w:ascii="Times New Roman" w:eastAsia="Times New Roman" w:hAnsi="Times New Roman" w:cs="Times New Roman"/>
        </w:rPr>
      </w:pPr>
      <w:r w:rsidRPr="000D46F8">
        <w:rPr>
          <w:rFonts w:ascii="Times New Roman" w:eastAsia="Times New Roman" w:hAnsi="Times New Roman" w:cs="Times New Roman"/>
          <w:b/>
          <w:bCs/>
        </w:rPr>
        <w:t>Event Name:</w:t>
      </w:r>
      <w:r w:rsidRPr="000D46F8">
        <w:rPr>
          <w:rFonts w:ascii="Times New Roman" w:eastAsia="Times New Roman" w:hAnsi="Times New Roman" w:cs="Times New Roman"/>
        </w:rPr>
        <w:t xml:space="preserve"> Operation Project Sanctuary (O.P.S.) Gala</w:t>
      </w:r>
    </w:p>
    <w:p w:rsidR="00E56BA9" w:rsidRDefault="00E56BA9" w:rsidP="00E56BA9">
      <w:pPr>
        <w:numPr>
          <w:ilvl w:val="0"/>
          <w:numId w:val="1"/>
        </w:numPr>
        <w:ind w:left="540"/>
        <w:textAlignment w:val="center"/>
        <w:rPr>
          <w:rFonts w:ascii="Times New Roman" w:eastAsia="Times New Roman" w:hAnsi="Times New Roman" w:cs="Times New Roman"/>
        </w:rPr>
      </w:pPr>
      <w:r w:rsidRPr="000D46F8">
        <w:rPr>
          <w:rFonts w:ascii="Times New Roman" w:eastAsia="Times New Roman" w:hAnsi="Times New Roman" w:cs="Times New Roman"/>
          <w:b/>
          <w:bCs/>
        </w:rPr>
        <w:t>When</w:t>
      </w:r>
      <w:r w:rsidRPr="000D46F8">
        <w:rPr>
          <w:rFonts w:ascii="Times New Roman" w:eastAsia="Times New Roman" w:hAnsi="Times New Roman" w:cs="Times New Roman"/>
        </w:rPr>
        <w:t>: May 21, 2016</w:t>
      </w:r>
    </w:p>
    <w:p w:rsidR="00E56BA9" w:rsidRPr="000D46F8" w:rsidRDefault="00E56BA9" w:rsidP="00E56BA9">
      <w:pPr>
        <w:numPr>
          <w:ilvl w:val="0"/>
          <w:numId w:val="1"/>
        </w:numPr>
        <w:ind w:left="540"/>
        <w:textAlignment w:val="center"/>
        <w:rPr>
          <w:rFonts w:ascii="Times New Roman" w:eastAsia="Times New Roman" w:hAnsi="Times New Roman" w:cs="Times New Roman"/>
        </w:rPr>
      </w:pPr>
      <w:r w:rsidRPr="00CE4BB6">
        <w:rPr>
          <w:rFonts w:ascii="Times New Roman" w:eastAsia="Times New Roman" w:hAnsi="Times New Roman" w:cs="Times New Roman"/>
          <w:b/>
          <w:bCs/>
        </w:rPr>
        <w:t>Where</w:t>
      </w:r>
      <w:r w:rsidRPr="00CE4BB6">
        <w:rPr>
          <w:rFonts w:ascii="Times New Roman" w:eastAsia="Times New Roman" w:hAnsi="Times New Roman" w:cs="Times New Roman"/>
        </w:rPr>
        <w:t>:  Sports Authority Field at Mile High</w:t>
      </w:r>
      <w:r>
        <w:rPr>
          <w:rFonts w:ascii="Times New Roman" w:eastAsia="Times New Roman" w:hAnsi="Times New Roman" w:cs="Times New Roman"/>
        </w:rPr>
        <w:t xml:space="preserve">, </w:t>
      </w:r>
      <w:r w:rsidRPr="00CE4BB6">
        <w:rPr>
          <w:rFonts w:ascii="Times New Roman" w:eastAsia="Times New Roman" w:hAnsi="Times New Roman" w:cs="Times New Roman"/>
        </w:rPr>
        <w:t>170</w:t>
      </w:r>
      <w:r>
        <w:rPr>
          <w:rFonts w:ascii="Times New Roman" w:eastAsia="Times New Roman" w:hAnsi="Times New Roman" w:cs="Times New Roman"/>
        </w:rPr>
        <w:t>1 Bryant St., Denver, CO  80204</w:t>
      </w:r>
    </w:p>
    <w:p w:rsidR="00E56BA9" w:rsidRDefault="00E56BA9" w:rsidP="00E56BA9">
      <w:pPr>
        <w:numPr>
          <w:ilvl w:val="0"/>
          <w:numId w:val="1"/>
        </w:numPr>
        <w:ind w:left="540"/>
        <w:textAlignment w:val="center"/>
        <w:rPr>
          <w:rFonts w:ascii="Times New Roman" w:eastAsia="Times New Roman" w:hAnsi="Times New Roman" w:cs="Times New Roman"/>
        </w:rPr>
      </w:pPr>
      <w:r w:rsidRPr="000D46F8">
        <w:rPr>
          <w:rFonts w:ascii="Times New Roman" w:eastAsia="Times New Roman" w:hAnsi="Times New Roman" w:cs="Times New Roman"/>
          <w:b/>
          <w:bCs/>
        </w:rPr>
        <w:t>Details:</w:t>
      </w:r>
    </w:p>
    <w:p w:rsidR="00E56BA9" w:rsidRDefault="00E56BA9" w:rsidP="00E56BA9">
      <w:pPr>
        <w:ind w:left="18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** </w:t>
      </w:r>
      <w:r w:rsidRPr="000D46F8">
        <w:rPr>
          <w:rFonts w:ascii="Times New Roman" w:hAnsi="Times New Roman" w:cs="Times New Roman"/>
          <w:b/>
          <w:bCs/>
        </w:rPr>
        <w:t>Project Sanctuary</w:t>
      </w:r>
      <w:r w:rsidRPr="000D4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a nonprofit </w:t>
      </w:r>
      <w:r w:rsidRPr="000D46F8">
        <w:rPr>
          <w:rFonts w:ascii="Times New Roman" w:hAnsi="Times New Roman" w:cs="Times New Roman"/>
        </w:rPr>
        <w:t>therapeutic military family program</w:t>
      </w:r>
      <w:r>
        <w:rPr>
          <w:rFonts w:ascii="Times New Roman" w:hAnsi="Times New Roman" w:cs="Times New Roman"/>
        </w:rPr>
        <w:t>, focused</w:t>
      </w:r>
      <w:r w:rsidRPr="000D46F8">
        <w:rPr>
          <w:rFonts w:ascii="Times New Roman" w:hAnsi="Times New Roman" w:cs="Times New Roman"/>
        </w:rPr>
        <w:t xml:space="preserve"> on the needs, challenges and concerns that our military families face each </w:t>
      </w:r>
      <w:r w:rsidRPr="00E35F82">
        <w:rPr>
          <w:rFonts w:ascii="Times New Roman" w:hAnsi="Times New Roman" w:cs="Times New Roman"/>
          <w:bCs/>
        </w:rPr>
        <w:t xml:space="preserve">day. </w:t>
      </w:r>
      <w:r>
        <w:rPr>
          <w:rFonts w:ascii="Times New Roman" w:hAnsi="Times New Roman" w:cs="Times New Roman"/>
          <w:bCs/>
        </w:rPr>
        <w:t xml:space="preserve">With Project Sanctuary’s </w:t>
      </w:r>
      <w:r w:rsidRPr="00E35F82">
        <w:rPr>
          <w:rFonts w:ascii="Times New Roman" w:hAnsi="Times New Roman" w:cs="Times New Roman"/>
          <w:bCs/>
        </w:rPr>
        <w:t>evidenced-based program built on compassionate advocacy, providing resiliency and reintegration tools, and reestablishing HOPE</w:t>
      </w:r>
      <w:r>
        <w:rPr>
          <w:rFonts w:ascii="Times New Roman" w:hAnsi="Times New Roman" w:cs="Times New Roman"/>
          <w:bCs/>
        </w:rPr>
        <w:t>, m</w:t>
      </w:r>
      <w:r w:rsidRPr="00E35F82">
        <w:rPr>
          <w:rFonts w:ascii="Times New Roman" w:hAnsi="Times New Roman" w:cs="Times New Roman"/>
          <w:bCs/>
        </w:rPr>
        <w:t xml:space="preserve">ilitary families THRIVE.   </w:t>
      </w:r>
    </w:p>
    <w:p w:rsidR="00E56BA9" w:rsidRDefault="00E56BA9" w:rsidP="00E56BA9">
      <w:pPr>
        <w:ind w:left="18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**The fund raiser includes </w:t>
      </w:r>
      <w:r w:rsidRPr="000D46F8">
        <w:rPr>
          <w:rFonts w:ascii="Times New Roman" w:hAnsi="Times New Roman" w:cs="Times New Roman"/>
        </w:rPr>
        <w:t>a seated dinner, silent and live auctions, live entertainment and exciting Project Sanctuary news while enjoying s</w:t>
      </w:r>
      <w:r>
        <w:rPr>
          <w:rFonts w:ascii="Times New Roman" w:hAnsi="Times New Roman" w:cs="Times New Roman"/>
        </w:rPr>
        <w:t>pectacular views of the Denver s</w:t>
      </w:r>
      <w:r w:rsidRPr="000D46F8">
        <w:rPr>
          <w:rFonts w:ascii="Times New Roman" w:hAnsi="Times New Roman" w:cs="Times New Roman"/>
        </w:rPr>
        <w:t>kyline</w:t>
      </w:r>
      <w:r>
        <w:rPr>
          <w:rFonts w:ascii="Times New Roman" w:hAnsi="Times New Roman" w:cs="Times New Roman"/>
        </w:rPr>
        <w:t xml:space="preserve"> from the East Club Level of Sports Authority Field at the O.P.S. Gala</w:t>
      </w:r>
      <w:r w:rsidRPr="000D46F8">
        <w:rPr>
          <w:rFonts w:ascii="Times New Roman" w:hAnsi="Times New Roman" w:cs="Times New Roman"/>
        </w:rPr>
        <w:t>. It will be a</w:t>
      </w:r>
      <w:r>
        <w:rPr>
          <w:rFonts w:ascii="Times New Roman" w:hAnsi="Times New Roman" w:cs="Times New Roman"/>
        </w:rPr>
        <w:t xml:space="preserve"> rewarding </w:t>
      </w:r>
      <w:r w:rsidRPr="000D46F8">
        <w:rPr>
          <w:rFonts w:ascii="Times New Roman" w:hAnsi="Times New Roman" w:cs="Times New Roman"/>
        </w:rPr>
        <w:t>evening of inspiration, camaraderie and fun while givi</w:t>
      </w:r>
      <w:r>
        <w:rPr>
          <w:rFonts w:ascii="Times New Roman" w:hAnsi="Times New Roman" w:cs="Times New Roman"/>
        </w:rPr>
        <w:t>ng back to our nation's heroes.</w:t>
      </w:r>
    </w:p>
    <w:p w:rsidR="00E56BA9" w:rsidRPr="00E56BA9" w:rsidRDefault="00E56BA9" w:rsidP="00E56BA9">
      <w:pPr>
        <w:ind w:left="18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</w:t>
      </w:r>
      <w:r>
        <w:rPr>
          <w:rFonts w:ascii="Times New Roman" w:hAnsi="Times New Roman" w:cs="Times New Roman"/>
        </w:rPr>
        <w:t>With m</w:t>
      </w:r>
      <w:r w:rsidRPr="000D46F8">
        <w:rPr>
          <w:rFonts w:ascii="Times New Roman" w:hAnsi="Times New Roman" w:cs="Times New Roman"/>
        </w:rPr>
        <w:t xml:space="preserve">ore than </w:t>
      </w:r>
      <w:r w:rsidRPr="000D46F8">
        <w:rPr>
          <w:rFonts w:ascii="Times New Roman" w:hAnsi="Times New Roman" w:cs="Times New Roman"/>
          <w:b/>
          <w:bCs/>
        </w:rPr>
        <w:t>1,800 families</w:t>
      </w:r>
      <w:r w:rsidRPr="000D46F8">
        <w:rPr>
          <w:rFonts w:ascii="Times New Roman" w:hAnsi="Times New Roman" w:cs="Times New Roman"/>
        </w:rPr>
        <w:t xml:space="preserve"> on Project Sanctuary's wait list</w:t>
      </w:r>
      <w:r>
        <w:rPr>
          <w:rFonts w:ascii="Times New Roman" w:hAnsi="Times New Roman" w:cs="Times New Roman"/>
        </w:rPr>
        <w:t xml:space="preserve">, </w:t>
      </w:r>
      <w:r w:rsidRPr="000D46F8">
        <w:rPr>
          <w:rFonts w:ascii="Times New Roman" w:hAnsi="Times New Roman" w:cs="Times New Roman"/>
        </w:rPr>
        <w:t xml:space="preserve">your support will save and forever impact the lives of </w:t>
      </w:r>
      <w:r>
        <w:rPr>
          <w:rFonts w:ascii="Times New Roman" w:hAnsi="Times New Roman" w:cs="Times New Roman"/>
        </w:rPr>
        <w:t>thousands of military families.</w:t>
      </w:r>
    </w:p>
    <w:p w:rsidR="00E56BA9" w:rsidRPr="000D46F8" w:rsidRDefault="00E56BA9" w:rsidP="00E56BA9">
      <w:pPr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>
        <w:rPr>
          <w:rFonts w:ascii="Times New Roman" w:eastAsia="Times New Roman" w:hAnsi="Times New Roman" w:cs="Times New Roman"/>
        </w:rPr>
        <w:t xml:space="preserve"> </w:t>
      </w:r>
      <w:r w:rsidRPr="000D46F8">
        <w:rPr>
          <w:rFonts w:ascii="Times New Roman" w:eastAsia="Times New Roman" w:hAnsi="Times New Roman" w:cs="Times New Roman"/>
          <w:b/>
          <w:bCs/>
        </w:rPr>
        <w:t>Gala Website</w:t>
      </w:r>
      <w:r w:rsidRPr="000D46F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D46F8">
        <w:rPr>
          <w:rFonts w:ascii="Times New Roman" w:eastAsia="Times New Roman" w:hAnsi="Times New Roman" w:cs="Times New Roman"/>
        </w:rPr>
        <w:t xml:space="preserve">–  </w:t>
      </w:r>
      <w:proofErr w:type="gramEnd"/>
      <w:hyperlink r:id="rId7" w:history="1">
        <w:r w:rsidRPr="000D46F8">
          <w:rPr>
            <w:rFonts w:ascii="Times New Roman" w:eastAsia="Times New Roman" w:hAnsi="Times New Roman" w:cs="Times New Roman"/>
            <w:color w:val="0000FF"/>
            <w:u w:val="single"/>
          </w:rPr>
          <w:t>https://projectsanctuary.ejoinme.org/MyEvents/2016OPSGala/tabid/755204/Default.aspx</w:t>
        </w:r>
      </w:hyperlink>
    </w:p>
    <w:p w:rsidR="00E56BA9" w:rsidRPr="000D46F8" w:rsidRDefault="00E56BA9" w:rsidP="00E56BA9">
      <w:pPr>
        <w:numPr>
          <w:ilvl w:val="0"/>
          <w:numId w:val="2"/>
        </w:numPr>
        <w:textAlignment w:val="center"/>
        <w:rPr>
          <w:rFonts w:ascii="Times New Roman" w:eastAsia="Times New Roman" w:hAnsi="Times New Roman" w:cs="Times New Roman"/>
        </w:rPr>
      </w:pPr>
      <w:r w:rsidRPr="000D46F8">
        <w:rPr>
          <w:rFonts w:ascii="Times New Roman" w:eastAsia="Times New Roman" w:hAnsi="Times New Roman" w:cs="Times New Roman"/>
          <w:b/>
          <w:bCs/>
        </w:rPr>
        <w:t>Project Sanctuary's website –</w:t>
      </w:r>
      <w:r w:rsidRPr="000D46F8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7B32DE">
          <w:rPr>
            <w:rStyle w:val="Hyperlink"/>
          </w:rPr>
          <w:t>http://projectsanctuary.us/</w:t>
        </w:r>
      </w:hyperlink>
      <w:r>
        <w:t xml:space="preserve"> </w:t>
      </w:r>
    </w:p>
    <w:p w:rsidR="00E56BA9" w:rsidRPr="000D46F8" w:rsidRDefault="00E56BA9" w:rsidP="00E56BA9">
      <w:pPr>
        <w:numPr>
          <w:ilvl w:val="0"/>
          <w:numId w:val="3"/>
        </w:numPr>
        <w:ind w:left="540"/>
        <w:textAlignment w:val="center"/>
        <w:rPr>
          <w:rFonts w:ascii="Times New Roman" w:eastAsia="Times New Roman" w:hAnsi="Times New Roman" w:cs="Times New Roman"/>
        </w:rPr>
      </w:pPr>
      <w:r w:rsidRPr="000D46F8">
        <w:rPr>
          <w:rFonts w:ascii="Times New Roman" w:eastAsia="Times New Roman" w:hAnsi="Times New Roman" w:cs="Times New Roman"/>
          <w:b/>
          <w:bCs/>
        </w:rPr>
        <w:t>Phone:</w:t>
      </w:r>
      <w:r w:rsidRPr="000D46F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CE4BB6">
        <w:rPr>
          <w:rFonts w:ascii="Times New Roman" w:eastAsia="Times New Roman" w:hAnsi="Times New Roman" w:cs="Times New Roman"/>
        </w:rPr>
        <w:t>970-227-0191</w:t>
      </w:r>
    </w:p>
    <w:p w:rsidR="00E56BA9" w:rsidRPr="000D46F8" w:rsidRDefault="00E56BA9" w:rsidP="00E56BA9">
      <w:pPr>
        <w:numPr>
          <w:ilvl w:val="0"/>
          <w:numId w:val="3"/>
        </w:numPr>
        <w:ind w:left="540"/>
        <w:textAlignment w:val="center"/>
        <w:rPr>
          <w:rFonts w:ascii="Times New Roman" w:eastAsia="Times New Roman" w:hAnsi="Times New Roman" w:cs="Times New Roman"/>
          <w:color w:val="000000" w:themeColor="text1"/>
        </w:rPr>
      </w:pPr>
      <w:r w:rsidRPr="000D46F8">
        <w:rPr>
          <w:rFonts w:ascii="Times New Roman" w:eastAsia="Times New Roman" w:hAnsi="Times New Roman" w:cs="Times New Roman"/>
          <w:b/>
          <w:bCs/>
        </w:rPr>
        <w:t>Cost:</w:t>
      </w:r>
      <w:r w:rsidRPr="000D46F8">
        <w:rPr>
          <w:rFonts w:ascii="Times New Roman" w:eastAsia="Times New Roman" w:hAnsi="Times New Roman" w:cs="Times New Roman"/>
        </w:rPr>
        <w:t xml:space="preserve"> </w:t>
      </w:r>
      <w:r w:rsidRPr="00CE4BB6">
        <w:rPr>
          <w:rFonts w:ascii="Times New Roman" w:eastAsia="Times New Roman" w:hAnsi="Times New Roman" w:cs="Times New Roman"/>
        </w:rPr>
        <w:t>$175/person, $325/couple</w:t>
      </w:r>
    </w:p>
    <w:p w:rsidR="00E56BA9" w:rsidRPr="000D46F8" w:rsidRDefault="00E56BA9" w:rsidP="00E56BA9">
      <w:pPr>
        <w:numPr>
          <w:ilvl w:val="0"/>
          <w:numId w:val="3"/>
        </w:numPr>
        <w:ind w:left="540"/>
        <w:textAlignment w:val="center"/>
        <w:rPr>
          <w:rFonts w:ascii="Times New Roman" w:eastAsia="Times New Roman" w:hAnsi="Times New Roman" w:cs="Times New Roman"/>
        </w:rPr>
      </w:pPr>
      <w:r w:rsidRPr="000D46F8">
        <w:rPr>
          <w:rFonts w:ascii="Times New Roman" w:eastAsia="Times New Roman" w:hAnsi="Times New Roman" w:cs="Times New Roman"/>
          <w:b/>
          <w:bCs/>
        </w:rPr>
        <w:t xml:space="preserve">Category: </w:t>
      </w:r>
      <w:r w:rsidRPr="000D46F8">
        <w:rPr>
          <w:rFonts w:ascii="Times New Roman" w:eastAsia="Times New Roman" w:hAnsi="Times New Roman" w:cs="Times New Roman"/>
        </w:rPr>
        <w:t>Community</w:t>
      </w:r>
    </w:p>
    <w:p w:rsidR="00E56BA9" w:rsidRPr="000D46F8" w:rsidRDefault="00E56BA9" w:rsidP="00E56BA9">
      <w:pPr>
        <w:numPr>
          <w:ilvl w:val="0"/>
          <w:numId w:val="3"/>
        </w:numPr>
        <w:ind w:left="540"/>
        <w:textAlignment w:val="center"/>
        <w:rPr>
          <w:rFonts w:ascii="Times New Roman" w:eastAsia="Times New Roman" w:hAnsi="Times New Roman" w:cs="Times New Roman"/>
        </w:rPr>
      </w:pPr>
      <w:r w:rsidRPr="000D46F8">
        <w:rPr>
          <w:rFonts w:ascii="Times New Roman" w:eastAsia="Times New Roman" w:hAnsi="Times New Roman" w:cs="Times New Roman"/>
          <w:b/>
          <w:bCs/>
        </w:rPr>
        <w:t>Event Image:</w:t>
      </w:r>
      <w:r w:rsidRPr="000D46F8">
        <w:rPr>
          <w:rFonts w:ascii="Times New Roman" w:eastAsia="Times New Roman" w:hAnsi="Times New Roman" w:cs="Times New Roman"/>
        </w:rPr>
        <w:t xml:space="preserve"> </w:t>
      </w:r>
    </w:p>
    <w:p w:rsidR="00E56BA9" w:rsidRPr="000D46F8" w:rsidRDefault="00E56BA9" w:rsidP="00E56BA9">
      <w:pPr>
        <w:ind w:left="540"/>
        <w:rPr>
          <w:rFonts w:ascii="Times New Roman" w:hAnsi="Times New Roman" w:cs="Times New Roman"/>
        </w:rPr>
      </w:pPr>
      <w:r w:rsidRPr="000D46F8">
        <w:rPr>
          <w:rFonts w:ascii="Times New Roman" w:hAnsi="Times New Roman" w:cs="Times New Roman"/>
          <w:noProof/>
        </w:rPr>
        <w:drawing>
          <wp:inline distT="0" distB="0" distL="0" distR="0">
            <wp:extent cx="1928458" cy="1671080"/>
            <wp:effectExtent l="0" t="0" r="0" b="5715"/>
            <wp:docPr id="1" name="Picture 1" descr="/Users/slturnley/Library/Group Containers/UBF8T346G9.Office/msoclip1/01/9DB0EA70-9554-A940-B4FE-AB78729BC6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lturnley/Library/Group Containers/UBF8T346G9.Office/msoclip1/01/9DB0EA70-9554-A940-B4FE-AB78729BC67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74" cy="16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A9" w:rsidRPr="000D46F8" w:rsidRDefault="00E56BA9" w:rsidP="00E56BA9">
      <w:pPr>
        <w:ind w:left="540"/>
        <w:rPr>
          <w:rFonts w:ascii="Times New Roman" w:hAnsi="Times New Roman" w:cs="Times New Roman"/>
        </w:rPr>
      </w:pPr>
      <w:r w:rsidRPr="000D46F8">
        <w:rPr>
          <w:rFonts w:ascii="Times New Roman" w:hAnsi="Times New Roman" w:cs="Times New Roman"/>
        </w:rPr>
        <w:t> </w:t>
      </w:r>
    </w:p>
    <w:p w:rsidR="00E56BA9" w:rsidRDefault="00E56BA9" w:rsidP="00E56BA9">
      <w:pPr>
        <w:pStyle w:val="Default"/>
      </w:pPr>
    </w:p>
    <w:p w:rsidR="00E56BA9" w:rsidRDefault="00E56BA9" w:rsidP="00E56BA9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Project Sanctuary helps military families THRIVE through an evidenced-based program built on compassionate advocacy, providing resiliency and reintegration tools, and reestablishing HOPE. </w:t>
      </w:r>
    </w:p>
    <w:p w:rsidR="00E56BA9" w:rsidRDefault="00E56BA9" w:rsidP="00E56BA9">
      <w:pPr>
        <w:pStyle w:val="Default"/>
        <w:rPr>
          <w:rFonts w:ascii="Lubalin Graph" w:hAnsi="Lubalin Graph" w:cs="Lubalin Graph"/>
          <w:sz w:val="52"/>
          <w:szCs w:val="52"/>
        </w:rPr>
      </w:pPr>
    </w:p>
    <w:p w:rsidR="00E56BA9" w:rsidRDefault="00E56BA9" w:rsidP="00E56BA9">
      <w:pPr>
        <w:pStyle w:val="Default"/>
        <w:rPr>
          <w:rFonts w:ascii="Lubalin Graph" w:hAnsi="Lubalin Graph" w:cs="Lubalin Graph"/>
          <w:sz w:val="52"/>
          <w:szCs w:val="52"/>
        </w:rPr>
      </w:pPr>
    </w:p>
    <w:p w:rsidR="00E56BA9" w:rsidRDefault="00E56BA9" w:rsidP="00E56BA9">
      <w:pPr>
        <w:pStyle w:val="Default"/>
        <w:rPr>
          <w:rFonts w:ascii="Lubalin Graph" w:hAnsi="Lubalin Graph" w:cs="Lubalin Graph"/>
          <w:sz w:val="52"/>
          <w:szCs w:val="52"/>
        </w:rPr>
      </w:pPr>
    </w:p>
    <w:p w:rsidR="00E56BA9" w:rsidRDefault="00E56BA9" w:rsidP="00E56BA9">
      <w:pPr>
        <w:pStyle w:val="Default"/>
        <w:rPr>
          <w:rFonts w:ascii="Lubalin Graph" w:hAnsi="Lubalin Graph" w:cs="Lubalin Graph"/>
          <w:sz w:val="52"/>
          <w:szCs w:val="52"/>
        </w:rPr>
      </w:pPr>
    </w:p>
    <w:p w:rsidR="00E56BA9" w:rsidRDefault="00E56BA9" w:rsidP="00E56BA9">
      <w:pPr>
        <w:pStyle w:val="Default"/>
        <w:rPr>
          <w:rFonts w:ascii="Lubalin Graph" w:hAnsi="Lubalin Graph" w:cs="Lubalin Graph"/>
          <w:sz w:val="52"/>
          <w:szCs w:val="52"/>
        </w:rPr>
      </w:pPr>
      <w:r>
        <w:rPr>
          <w:rFonts w:ascii="Lubalin Graph" w:hAnsi="Lubalin Graph" w:cs="Lubalin Graph"/>
          <w:sz w:val="52"/>
          <w:szCs w:val="52"/>
        </w:rPr>
        <w:lastRenderedPageBreak/>
        <w:t xml:space="preserve">Project Sanctuary </w:t>
      </w:r>
    </w:p>
    <w:p w:rsidR="00E56BA9" w:rsidRDefault="00E56BA9" w:rsidP="00E56BA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Project Sanctuary Facts </w:t>
      </w:r>
    </w:p>
    <w:p w:rsidR="00E56BA9" w:rsidRDefault="00E56BA9" w:rsidP="00E56BA9">
      <w:pPr>
        <w:pStyle w:val="Default"/>
        <w:numPr>
          <w:ilvl w:val="0"/>
          <w:numId w:val="4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Two-year program beginning with six-day retreats hosted at remote locations in Colorado, Utah, California and – NEW for 2016 – Texas and New York at no cost to the participating families (25 retreats scheduled for 2016) </w:t>
      </w:r>
    </w:p>
    <w:p w:rsidR="00E56BA9" w:rsidRDefault="00E56BA9" w:rsidP="00E56BA9">
      <w:pPr>
        <w:pStyle w:val="Default"/>
        <w:numPr>
          <w:ilvl w:val="0"/>
          <w:numId w:val="4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Program designed from feedback from military families and an Outcome-Based Quality Improvement RN to be innovative, evidence based and therapeutic </w:t>
      </w:r>
    </w:p>
    <w:p w:rsidR="00E56BA9" w:rsidRDefault="00E56BA9" w:rsidP="00E56BA9">
      <w:pPr>
        <w:pStyle w:val="Default"/>
        <w:numPr>
          <w:ilvl w:val="0"/>
          <w:numId w:val="4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Data collected from first retreat to present </w:t>
      </w:r>
    </w:p>
    <w:p w:rsidR="00E56BA9" w:rsidRDefault="00E56BA9" w:rsidP="00E56BA9">
      <w:pPr>
        <w:pStyle w:val="Default"/>
        <w:numPr>
          <w:ilvl w:val="0"/>
          <w:numId w:val="4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Participation in research with R4 Alliance, a national consortium of programs of excellence serving </w:t>
      </w:r>
      <w:r>
        <w:rPr>
          <w:i/>
          <w:iCs/>
          <w:sz w:val="22"/>
          <w:szCs w:val="22"/>
        </w:rPr>
        <w:t xml:space="preserve">Our Military Family </w:t>
      </w:r>
    </w:p>
    <w:p w:rsidR="00E56BA9" w:rsidRDefault="00E56BA9" w:rsidP="00E56BA9">
      <w:pPr>
        <w:pStyle w:val="Default"/>
        <w:numPr>
          <w:ilvl w:val="0"/>
          <w:numId w:val="4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Retreat facilitation by a small professional team of counselors, recreation therapists and social workers </w:t>
      </w:r>
    </w:p>
    <w:p w:rsidR="00E56BA9" w:rsidRDefault="00E56BA9" w:rsidP="00E56BA9">
      <w:pPr>
        <w:pStyle w:val="Default"/>
        <w:numPr>
          <w:ilvl w:val="0"/>
          <w:numId w:val="4"/>
        </w:numPr>
        <w:spacing w:after="7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87% </w:t>
      </w:r>
      <w:r>
        <w:rPr>
          <w:sz w:val="22"/>
          <w:szCs w:val="22"/>
        </w:rPr>
        <w:t xml:space="preserve">of all funding directed to Mission* </w:t>
      </w:r>
    </w:p>
    <w:p w:rsidR="00E56BA9" w:rsidRDefault="00E56BA9" w:rsidP="00E56BA9">
      <w:pPr>
        <w:pStyle w:val="Default"/>
        <w:numPr>
          <w:ilvl w:val="0"/>
          <w:numId w:val="4"/>
        </w:numPr>
        <w:spacing w:after="7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Gold-Level </w:t>
      </w:r>
      <w:proofErr w:type="spellStart"/>
      <w:r>
        <w:rPr>
          <w:b/>
          <w:bCs/>
          <w:sz w:val="22"/>
          <w:szCs w:val="22"/>
        </w:rPr>
        <w:t>GuideStar</w:t>
      </w:r>
      <w:proofErr w:type="spellEnd"/>
      <w:r>
        <w:rPr>
          <w:b/>
          <w:bCs/>
          <w:sz w:val="22"/>
          <w:szCs w:val="22"/>
        </w:rPr>
        <w:t xml:space="preserve"> Exchange Participant </w:t>
      </w:r>
      <w:r>
        <w:rPr>
          <w:sz w:val="22"/>
          <w:szCs w:val="22"/>
        </w:rPr>
        <w:t xml:space="preserve">(commitment to organizational transparency) </w:t>
      </w:r>
    </w:p>
    <w:p w:rsidR="00E56BA9" w:rsidRDefault="00E56BA9" w:rsidP="00E56BA9">
      <w:pPr>
        <w:pStyle w:val="Default"/>
        <w:numPr>
          <w:ilvl w:val="0"/>
          <w:numId w:val="4"/>
        </w:numPr>
        <w:spacing w:after="70"/>
        <w:rPr>
          <w:sz w:val="22"/>
          <w:szCs w:val="22"/>
        </w:rPr>
      </w:pPr>
      <w:r>
        <w:rPr>
          <w:b/>
          <w:bCs/>
          <w:sz w:val="22"/>
          <w:szCs w:val="22"/>
        </w:rPr>
        <w:t>Better Business Bureau (BBB) Accredited Charity</w:t>
      </w:r>
      <w:r>
        <w:rPr>
          <w:sz w:val="22"/>
          <w:szCs w:val="22"/>
        </w:rPr>
        <w:t xml:space="preserve">, meeting all 20 BBB standards for Charity Accountability </w:t>
      </w:r>
    </w:p>
    <w:p w:rsidR="00E56BA9" w:rsidRDefault="00E56BA9" w:rsidP="00E56BA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Project Sanctuary is the only organization in the country </w:t>
      </w:r>
      <w:r>
        <w:rPr>
          <w:sz w:val="22"/>
          <w:szCs w:val="22"/>
        </w:rPr>
        <w:t xml:space="preserve">continuously providing these services for the entire family. </w:t>
      </w:r>
    </w:p>
    <w:p w:rsidR="00E56BA9" w:rsidRDefault="00E56BA9" w:rsidP="00E56BA9">
      <w:pPr>
        <w:pStyle w:val="Default"/>
        <w:rPr>
          <w:sz w:val="22"/>
          <w:szCs w:val="22"/>
        </w:rPr>
      </w:pPr>
    </w:p>
    <w:p w:rsidR="00E56BA9" w:rsidRDefault="00E56BA9" w:rsidP="00E56BA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Results (as of 21 May 2016) </w:t>
      </w:r>
    </w:p>
    <w:p w:rsidR="00E56BA9" w:rsidRDefault="00E56BA9" w:rsidP="00E56BA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91 therapeutic retreats hosted since 2007, </w:t>
      </w:r>
      <w:r>
        <w:rPr>
          <w:sz w:val="22"/>
          <w:szCs w:val="22"/>
        </w:rPr>
        <w:t xml:space="preserve">providing pre- and post-retreat support and services for </w:t>
      </w:r>
      <w:r>
        <w:rPr>
          <w:b/>
          <w:bCs/>
          <w:sz w:val="22"/>
          <w:szCs w:val="22"/>
        </w:rPr>
        <w:t xml:space="preserve">700+ military families, </w:t>
      </w:r>
      <w:r>
        <w:rPr>
          <w:sz w:val="22"/>
          <w:szCs w:val="22"/>
        </w:rPr>
        <w:t xml:space="preserve">comprised of </w:t>
      </w:r>
      <w:r>
        <w:rPr>
          <w:b/>
          <w:bCs/>
          <w:sz w:val="22"/>
          <w:szCs w:val="22"/>
        </w:rPr>
        <w:t xml:space="preserve">over 3,000 individuals </w:t>
      </w:r>
    </w:p>
    <w:p w:rsidR="00E56BA9" w:rsidRDefault="00E56BA9" w:rsidP="00E56BA9">
      <w:pPr>
        <w:pStyle w:val="Default"/>
        <w:numPr>
          <w:ilvl w:val="0"/>
          <w:numId w:val="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Approximately 50% active-duty families, 50% veteran families </w:t>
      </w:r>
    </w:p>
    <w:p w:rsidR="00E56BA9" w:rsidRPr="00DF3982" w:rsidRDefault="00E56BA9" w:rsidP="00DF3982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“Wounded-warrior” rate of 80% of the participating service members</w:t>
      </w:r>
      <w:r w:rsidR="00DF398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DF3982">
        <w:rPr>
          <w:sz w:val="22"/>
          <w:szCs w:val="22"/>
        </w:rPr>
        <w:t>(</w:t>
      </w:r>
      <w:r w:rsidRPr="00DF3982">
        <w:rPr>
          <w:i/>
          <w:iCs/>
          <w:sz w:val="20"/>
          <w:szCs w:val="20"/>
        </w:rPr>
        <w:t>Wounded warriors are defined as service members with post-traumatic stress disorder (PTSD) and/or traumatic brain injury (TBI), physical wounds and/or amputations</w:t>
      </w:r>
      <w:r w:rsidRPr="00DF3982">
        <w:rPr>
          <w:sz w:val="20"/>
          <w:szCs w:val="20"/>
        </w:rPr>
        <w:t>.</w:t>
      </w:r>
      <w:r w:rsidR="00DF3982">
        <w:rPr>
          <w:sz w:val="20"/>
          <w:szCs w:val="20"/>
        </w:rPr>
        <w:t>)</w:t>
      </w:r>
    </w:p>
    <w:p w:rsidR="00E56BA9" w:rsidRDefault="00E56BA9" w:rsidP="00E56BA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Numbers that speak for themselves for the families served: </w:t>
      </w:r>
    </w:p>
    <w:p w:rsidR="00E56BA9" w:rsidRDefault="00E56BA9" w:rsidP="00E56BA9">
      <w:pPr>
        <w:pStyle w:val="Default"/>
        <w:numPr>
          <w:ilvl w:val="0"/>
          <w:numId w:val="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90% are still together, 100% employment rate of all service men and women who want to have a job. </w:t>
      </w:r>
    </w:p>
    <w:p w:rsidR="00E56BA9" w:rsidRDefault="00E56BA9" w:rsidP="00E56BA9">
      <w:pPr>
        <w:pStyle w:val="Default"/>
        <w:numPr>
          <w:ilvl w:val="0"/>
          <w:numId w:val="5"/>
        </w:numPr>
        <w:rPr>
          <w:sz w:val="18"/>
          <w:szCs w:val="18"/>
        </w:rPr>
      </w:pPr>
      <w:r>
        <w:rPr>
          <w:sz w:val="22"/>
          <w:szCs w:val="22"/>
        </w:rPr>
        <w:t xml:space="preserve">3,000+ individuals served 1 fallen warrior </w:t>
      </w:r>
      <w:r>
        <w:rPr>
          <w:i/>
          <w:iCs/>
          <w:sz w:val="18"/>
          <w:szCs w:val="18"/>
        </w:rPr>
        <w:t xml:space="preserve">(Army SF Brian W., Ret.) </w:t>
      </w:r>
    </w:p>
    <w:p w:rsidR="00E56BA9" w:rsidRDefault="00E56BA9" w:rsidP="00E56BA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Current list of </w:t>
      </w:r>
      <w:r>
        <w:rPr>
          <w:b/>
          <w:bCs/>
          <w:sz w:val="22"/>
          <w:szCs w:val="22"/>
        </w:rPr>
        <w:t xml:space="preserve">more than 1,800 families </w:t>
      </w:r>
      <w:r>
        <w:rPr>
          <w:sz w:val="22"/>
          <w:szCs w:val="22"/>
        </w:rPr>
        <w:t xml:space="preserve">patiently waiting </w:t>
      </w:r>
    </w:p>
    <w:p w:rsidR="00E56BA9" w:rsidRDefault="00E56BA9" w:rsidP="00E56BA9">
      <w:pPr>
        <w:pStyle w:val="Default"/>
        <w:rPr>
          <w:sz w:val="22"/>
          <w:szCs w:val="22"/>
        </w:rPr>
      </w:pPr>
    </w:p>
    <w:p w:rsidR="00AD3063" w:rsidRPr="00E56BA9" w:rsidRDefault="00AD3063" w:rsidP="00E56BA9">
      <w:pPr>
        <w:pStyle w:val="Default"/>
        <w:rPr>
          <w:sz w:val="19"/>
          <w:szCs w:val="19"/>
        </w:rPr>
      </w:pPr>
    </w:p>
    <w:sectPr w:rsidR="00AD3063" w:rsidRPr="00E56BA9" w:rsidSect="00AD3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balin Graph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BD14578_"/>
      </v:shape>
    </w:pict>
  </w:numPicBullet>
  <w:abstractNum w:abstractNumId="0">
    <w:nsid w:val="16A566ED"/>
    <w:multiLevelType w:val="multilevel"/>
    <w:tmpl w:val="C1D0F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E9537B0"/>
    <w:multiLevelType w:val="hybridMultilevel"/>
    <w:tmpl w:val="0D70E560"/>
    <w:lvl w:ilvl="0" w:tplc="D77A1D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A209F"/>
    <w:multiLevelType w:val="multilevel"/>
    <w:tmpl w:val="4920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BD37DA"/>
    <w:multiLevelType w:val="multilevel"/>
    <w:tmpl w:val="B43A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861378"/>
    <w:multiLevelType w:val="hybridMultilevel"/>
    <w:tmpl w:val="2580EF4E"/>
    <w:lvl w:ilvl="0" w:tplc="D77A1D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A9"/>
    <w:rsid w:val="000F192D"/>
    <w:rsid w:val="00AB4536"/>
    <w:rsid w:val="00AD3063"/>
    <w:rsid w:val="00DF3982"/>
    <w:rsid w:val="00E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A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B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6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A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B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6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ara@projectsanctuary.us" TargetMode="External"/><Relationship Id="rId7" Type="http://schemas.openxmlformats.org/officeDocument/2006/relationships/hyperlink" Target="https://projectsanctuary.ejoinme.org/MyEvents/2016OPSGala/tabid/755204/Default.aspx" TargetMode="External"/><Relationship Id="rId8" Type="http://schemas.openxmlformats.org/officeDocument/2006/relationships/hyperlink" Target="http://projectsanctuary.us/" TargetMode="Externa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slinn</dc:creator>
  <cp:lastModifiedBy>   </cp:lastModifiedBy>
  <cp:revision>2</cp:revision>
  <dcterms:created xsi:type="dcterms:W3CDTF">2016-05-16T00:06:00Z</dcterms:created>
  <dcterms:modified xsi:type="dcterms:W3CDTF">2016-05-16T00:06:00Z</dcterms:modified>
</cp:coreProperties>
</file>